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43" w:rsidRDefault="00237A43" w:rsidP="00237A43">
      <w:pPr>
        <w:pStyle w:val="BodyTextIndent2"/>
        <w:ind w:firstLine="0"/>
        <w:jc w:val="center"/>
        <w:rPr>
          <w:rFonts w:ascii="Times New Roman" w:hAnsi="Times New Roman" w:cs="Times New Roman"/>
          <w:b/>
          <w:bCs/>
          <w:szCs w:val="24"/>
        </w:rPr>
      </w:pPr>
      <w:r>
        <w:rPr>
          <w:rFonts w:ascii="Times New Roman" w:hAnsi="Times New Roman" w:cs="Times New Roman"/>
          <w:b/>
          <w:bCs/>
          <w:szCs w:val="24"/>
          <w:u w:val="single"/>
          <w:lang w:val="bg-BG"/>
        </w:rPr>
        <w:t xml:space="preserve">Технически изисквания, към покана за конкурс за </w:t>
      </w:r>
      <w:r>
        <w:rPr>
          <w:rFonts w:ascii="Times New Roman" w:hAnsi="Times New Roman" w:cs="Times New Roman"/>
          <w:b/>
          <w:bCs/>
          <w:color w:val="000000"/>
          <w:spacing w:val="-11"/>
          <w:szCs w:val="24"/>
          <w:lang w:val="bg-BG"/>
        </w:rPr>
        <w:t xml:space="preserve"> </w:t>
      </w:r>
      <w:r>
        <w:rPr>
          <w:rFonts w:ascii="Times New Roman" w:hAnsi="Times New Roman" w:cs="Times New Roman"/>
          <w:b/>
          <w:bCs/>
          <w:color w:val="000000"/>
          <w:spacing w:val="-11"/>
          <w:szCs w:val="24"/>
          <w:u w:val="single"/>
          <w:lang w:val="bg-BG"/>
        </w:rPr>
        <w:t>застраховане на медицинска апаратура, ползвана от</w:t>
      </w:r>
      <w:r>
        <w:rPr>
          <w:rFonts w:ascii="Times New Roman" w:hAnsi="Times New Roman" w:cs="Times New Roman"/>
          <w:b/>
          <w:bCs/>
          <w:szCs w:val="24"/>
          <w:u w:val="single"/>
          <w:lang w:val="bg-BG"/>
        </w:rPr>
        <w:t xml:space="preserve"> </w:t>
      </w:r>
      <w:r>
        <w:rPr>
          <w:rFonts w:ascii="Times New Roman" w:hAnsi="Times New Roman" w:cs="Times New Roman"/>
          <w:b/>
          <w:bCs/>
          <w:color w:val="000000"/>
          <w:szCs w:val="24"/>
          <w:u w:val="single"/>
          <w:lang w:val="bg-BG"/>
        </w:rPr>
        <w:t>УМБАЛ ”СВЕТИ ГЕОРГИ” ЕАД</w:t>
      </w:r>
      <w:r>
        <w:rPr>
          <w:rFonts w:ascii="Times New Roman" w:hAnsi="Times New Roman" w:cs="Times New Roman"/>
          <w:b/>
          <w:bCs/>
          <w:szCs w:val="24"/>
          <w:u w:val="single"/>
          <w:lang w:val="bg-BG"/>
        </w:rPr>
        <w:t xml:space="preserve">, </w:t>
      </w:r>
      <w:r>
        <w:rPr>
          <w:rStyle w:val="Strong"/>
          <w:rFonts w:ascii="Times New Roman" w:hAnsi="Times New Roman" w:cs="Times New Roman"/>
          <w:b w:val="0"/>
          <w:bCs w:val="0"/>
          <w:color w:val="000000"/>
          <w:szCs w:val="24"/>
          <w:u w:val="single"/>
          <w:lang w:val="bg-BG" w:eastAsia="bg-BG"/>
        </w:rPr>
        <w:t>Пловдив</w:t>
      </w:r>
    </w:p>
    <w:p w:rsidR="00237A43" w:rsidRDefault="00237A43" w:rsidP="00237A43">
      <w:pPr>
        <w:rPr>
          <w:b/>
          <w:bCs/>
        </w:rPr>
      </w:pPr>
    </w:p>
    <w:p w:rsidR="00237A43" w:rsidRDefault="00237A43" w:rsidP="00237A43">
      <w:pPr>
        <w:ind w:left="15"/>
        <w:jc w:val="both"/>
        <w:rPr>
          <w:b/>
          <w:bCs/>
        </w:rPr>
      </w:pPr>
    </w:p>
    <w:p w:rsidR="00237A43" w:rsidRDefault="00237A43" w:rsidP="00FA4704">
      <w:pPr>
        <w:ind w:left="15"/>
        <w:jc w:val="both"/>
        <w:rPr>
          <w:b/>
          <w:bCs/>
          <w:color w:val="000000"/>
        </w:rPr>
      </w:pPr>
      <w:r>
        <w:rPr>
          <w:b/>
          <w:bCs/>
          <w:color w:val="000000"/>
          <w:lang w:val="en-US"/>
        </w:rPr>
        <w:tab/>
      </w:r>
    </w:p>
    <w:p w:rsidR="00237A43" w:rsidRPr="004A5F8D" w:rsidRDefault="004A5F8D" w:rsidP="00237A43">
      <w:pPr>
        <w:pStyle w:val="Textbody"/>
        <w:jc w:val="both"/>
        <w:rPr>
          <w:rStyle w:val="Strong"/>
          <w:iCs/>
        </w:rPr>
      </w:pPr>
      <w:r>
        <w:rPr>
          <w:rStyle w:val="Strong"/>
          <w:rFonts w:eastAsia="Tahoma"/>
          <w:iCs/>
          <w:color w:val="000000"/>
          <w:shd w:val="clear" w:color="auto" w:fill="FFFF00"/>
        </w:rPr>
        <w:t>1.</w:t>
      </w:r>
      <w:bookmarkStart w:id="0" w:name="_GoBack"/>
      <w:bookmarkEnd w:id="0"/>
      <w:r w:rsidR="00237A43">
        <w:rPr>
          <w:rStyle w:val="Strong"/>
          <w:rFonts w:eastAsia="Tahoma"/>
          <w:iCs/>
          <w:color w:val="000000"/>
        </w:rPr>
        <w:t>Обект на застраховане е медицинската апаратура</w:t>
      </w:r>
      <w:r w:rsidR="00237A43">
        <w:rPr>
          <w:rStyle w:val="Strong"/>
          <w:rFonts w:eastAsia="Tahoma"/>
          <w:iCs/>
          <w:color w:val="000000"/>
          <w:lang w:val="en-US"/>
        </w:rPr>
        <w:t xml:space="preserve">, </w:t>
      </w:r>
      <w:r w:rsidR="00237A43">
        <w:rPr>
          <w:rStyle w:val="Strong"/>
          <w:rFonts w:eastAsia="Tahoma"/>
          <w:iCs/>
          <w:color w:val="000000"/>
        </w:rPr>
        <w:t xml:space="preserve">описана в </w:t>
      </w:r>
      <w:r>
        <w:rPr>
          <w:rStyle w:val="Strong"/>
          <w:rFonts w:eastAsia="Tahoma"/>
          <w:iCs/>
          <w:color w:val="000000"/>
        </w:rPr>
        <w:t>Приложение №1.</w:t>
      </w:r>
    </w:p>
    <w:p w:rsidR="00237A43" w:rsidRDefault="00237A43" w:rsidP="00237A43">
      <w:pPr>
        <w:pStyle w:val="Textbody"/>
        <w:tabs>
          <w:tab w:val="left" w:pos="225"/>
        </w:tabs>
        <w:spacing w:after="0" w:line="198" w:lineRule="atLeast"/>
        <w:jc w:val="both"/>
        <w:rPr>
          <w:iCs/>
        </w:rPr>
      </w:pPr>
      <w:r>
        <w:rPr>
          <w:rStyle w:val="Strong"/>
          <w:iCs/>
        </w:rPr>
        <w:t xml:space="preserve">* </w:t>
      </w:r>
      <w:r>
        <w:rPr>
          <w:rStyle w:val="Strong"/>
          <w:b w:val="0"/>
          <w:bCs w:val="0"/>
          <w:iCs/>
        </w:rPr>
        <w:t>Забележка</w:t>
      </w:r>
      <w:r>
        <w:rPr>
          <w:rStyle w:val="Strong"/>
          <w:iCs/>
        </w:rPr>
        <w:t>: Сред апаратурата няма преносима такава, като същата се съхранява единствено на територията на болничното заведение.</w:t>
      </w:r>
    </w:p>
    <w:p w:rsidR="00237A43" w:rsidRDefault="00237A43" w:rsidP="00237A43">
      <w:pPr>
        <w:pStyle w:val="Textbody"/>
        <w:spacing w:after="0" w:line="198" w:lineRule="atLeast"/>
        <w:jc w:val="both"/>
        <w:rPr>
          <w:iCs/>
        </w:rPr>
      </w:pPr>
    </w:p>
    <w:p w:rsidR="00237A43" w:rsidRDefault="00237A43" w:rsidP="00237A43">
      <w:pPr>
        <w:pStyle w:val="Textbody"/>
        <w:jc w:val="both"/>
      </w:pPr>
      <w:r>
        <w:rPr>
          <w:b/>
          <w:bCs/>
        </w:rPr>
        <w:t>2. Застраховката следва да обезщетява при пълна загуба и/или частични повреди на медицинската апаратура, в следствие на всички рискове на електронно оборудване, но най-малко следните рискове:</w:t>
      </w:r>
    </w:p>
    <w:p w:rsidR="00237A43" w:rsidRDefault="00237A43" w:rsidP="00237A43">
      <w:pPr>
        <w:tabs>
          <w:tab w:val="left" w:pos="285"/>
        </w:tabs>
        <w:jc w:val="both"/>
      </w:pPr>
      <w:r>
        <w:t>•</w:t>
      </w:r>
      <w:r>
        <w:tab/>
        <w:t xml:space="preserve">Пожар (с или без пламък), независимо от причината за пожара, както и последиците от </w:t>
      </w:r>
      <w:proofErr w:type="spellStart"/>
      <w:r>
        <w:t>пожарогасене</w:t>
      </w:r>
      <w:proofErr w:type="spellEnd"/>
      <w:r>
        <w:t>,  разрушаване, разчистване или каквито и да е други вреди причинени от пожара;</w:t>
      </w:r>
    </w:p>
    <w:p w:rsidR="00237A43" w:rsidRDefault="00237A43" w:rsidP="00237A43">
      <w:pPr>
        <w:tabs>
          <w:tab w:val="left" w:pos="285"/>
        </w:tabs>
        <w:jc w:val="both"/>
      </w:pPr>
      <w:r>
        <w:t>•</w:t>
      </w:r>
      <w:r>
        <w:tab/>
        <w:t xml:space="preserve">Дим, сажди, </w:t>
      </w:r>
      <w:proofErr w:type="spellStart"/>
      <w:r>
        <w:t>корозионни</w:t>
      </w:r>
      <w:proofErr w:type="spellEnd"/>
      <w:r>
        <w:t xml:space="preserve"> газове</w:t>
      </w:r>
    </w:p>
    <w:p w:rsidR="00237A43" w:rsidRDefault="00237A43" w:rsidP="00237A43">
      <w:pPr>
        <w:tabs>
          <w:tab w:val="left" w:pos="285"/>
        </w:tabs>
        <w:jc w:val="both"/>
      </w:pPr>
      <w:r>
        <w:t>•</w:t>
      </w:r>
      <w:r>
        <w:tab/>
        <w:t>Небрежност, невнимание или неправилна манипулация, операционна грешка</w:t>
      </w:r>
    </w:p>
    <w:p w:rsidR="00237A43" w:rsidRDefault="00237A43" w:rsidP="00237A43">
      <w:pPr>
        <w:tabs>
          <w:tab w:val="left" w:pos="285"/>
        </w:tabs>
        <w:jc w:val="both"/>
      </w:pPr>
      <w:r>
        <w:t>•</w:t>
      </w:r>
      <w:r>
        <w:tab/>
        <w:t>Щети, причинени от директно и индиректно попадение на мълния</w:t>
      </w:r>
    </w:p>
    <w:p w:rsidR="00237A43" w:rsidRDefault="00237A43" w:rsidP="00237A43">
      <w:pPr>
        <w:tabs>
          <w:tab w:val="left" w:pos="285"/>
        </w:tabs>
        <w:jc w:val="both"/>
      </w:pPr>
      <w:r>
        <w:t>•</w:t>
      </w:r>
      <w:r>
        <w:tab/>
        <w:t>Експлозия</w:t>
      </w:r>
    </w:p>
    <w:p w:rsidR="00237A43" w:rsidRDefault="00237A43" w:rsidP="00237A43">
      <w:pPr>
        <w:tabs>
          <w:tab w:val="left" w:pos="285"/>
        </w:tabs>
        <w:jc w:val="both"/>
      </w:pPr>
      <w:r>
        <w:t>•</w:t>
      </w:r>
      <w:r>
        <w:tab/>
      </w:r>
      <w:proofErr w:type="spellStart"/>
      <w:r>
        <w:t>Имплозия</w:t>
      </w:r>
      <w:proofErr w:type="spellEnd"/>
    </w:p>
    <w:p w:rsidR="00237A43" w:rsidRDefault="00237A43" w:rsidP="00237A43">
      <w:pPr>
        <w:tabs>
          <w:tab w:val="left" w:pos="285"/>
        </w:tabs>
        <w:jc w:val="both"/>
      </w:pPr>
      <w:r>
        <w:t>•</w:t>
      </w:r>
      <w:r>
        <w:tab/>
        <w:t>Удар от летателни апарати или от падащи от тях части и предмети;</w:t>
      </w:r>
    </w:p>
    <w:p w:rsidR="00237A43" w:rsidRDefault="00237A43" w:rsidP="00237A43">
      <w:pPr>
        <w:tabs>
          <w:tab w:val="left" w:pos="285"/>
        </w:tabs>
        <w:jc w:val="both"/>
      </w:pPr>
      <w:r>
        <w:t>•</w:t>
      </w:r>
      <w:r>
        <w:tab/>
        <w:t>Буря</w:t>
      </w:r>
    </w:p>
    <w:p w:rsidR="00237A43" w:rsidRDefault="00237A43" w:rsidP="00237A43">
      <w:pPr>
        <w:tabs>
          <w:tab w:val="left" w:pos="285"/>
        </w:tabs>
        <w:jc w:val="both"/>
      </w:pPr>
      <w:r>
        <w:t>•</w:t>
      </w:r>
      <w:r>
        <w:tab/>
        <w:t>Ураган</w:t>
      </w:r>
    </w:p>
    <w:p w:rsidR="00237A43" w:rsidRDefault="00237A43" w:rsidP="00237A43">
      <w:pPr>
        <w:tabs>
          <w:tab w:val="left" w:pos="285"/>
        </w:tabs>
        <w:jc w:val="both"/>
      </w:pPr>
      <w:r>
        <w:t>•</w:t>
      </w:r>
      <w:r>
        <w:tab/>
        <w:t>Увреждане от падащи клони и дървета;</w:t>
      </w:r>
    </w:p>
    <w:p w:rsidR="00237A43" w:rsidRDefault="00237A43" w:rsidP="00237A43">
      <w:pPr>
        <w:tabs>
          <w:tab w:val="left" w:pos="285"/>
        </w:tabs>
        <w:jc w:val="both"/>
      </w:pPr>
      <w:r>
        <w:t>•</w:t>
      </w:r>
      <w:r>
        <w:tab/>
        <w:t>Проливен дъжд</w:t>
      </w:r>
    </w:p>
    <w:p w:rsidR="00237A43" w:rsidRDefault="00237A43" w:rsidP="00237A43">
      <w:pPr>
        <w:tabs>
          <w:tab w:val="left" w:pos="285"/>
        </w:tabs>
        <w:jc w:val="both"/>
      </w:pPr>
      <w:r>
        <w:t>•</w:t>
      </w:r>
      <w:r>
        <w:tab/>
        <w:t>Наводнение</w:t>
      </w:r>
    </w:p>
    <w:p w:rsidR="00237A43" w:rsidRDefault="00237A43" w:rsidP="00237A43">
      <w:pPr>
        <w:tabs>
          <w:tab w:val="left" w:pos="285"/>
        </w:tabs>
        <w:jc w:val="both"/>
      </w:pPr>
      <w:r>
        <w:t>•</w:t>
      </w:r>
      <w:r>
        <w:tab/>
        <w:t xml:space="preserve">Щети причинени от вода (в т.ч. от довеждащи или отвеждащи тръбопроводи, приливни води, наводнения – в това число от природно бедствие, в следствие на проливен дъжд и сняг, както и наводнение от преливане на водни басейни; действие на подпочвени води, </w:t>
      </w:r>
      <w:proofErr w:type="spellStart"/>
      <w:r>
        <w:t>щеити</w:t>
      </w:r>
      <w:proofErr w:type="spellEnd"/>
      <w:r>
        <w:t xml:space="preserve"> причинени от дъждовна вода), корозия, пара, замръзване, движение на ледове, влага или въздействие на други течности;</w:t>
      </w:r>
    </w:p>
    <w:p w:rsidR="00237A43" w:rsidRDefault="00237A43" w:rsidP="00237A43">
      <w:pPr>
        <w:tabs>
          <w:tab w:val="left" w:pos="285"/>
        </w:tabs>
        <w:jc w:val="both"/>
      </w:pPr>
      <w:r>
        <w:t>•</w:t>
      </w:r>
      <w:r>
        <w:tab/>
        <w:t xml:space="preserve">Грешки в монтажа, дефектен материал, производствени несъответствия, свръхнапрежение, </w:t>
      </w:r>
      <w:proofErr w:type="spellStart"/>
      <w:r>
        <w:t>свръхток</w:t>
      </w:r>
      <w:proofErr w:type="spellEnd"/>
      <w:r>
        <w:t>, индукция (в т.ч. причинени непряко от мълния);</w:t>
      </w:r>
    </w:p>
    <w:p w:rsidR="00237A43" w:rsidRDefault="00237A43" w:rsidP="00237A43">
      <w:pPr>
        <w:tabs>
          <w:tab w:val="left" w:pos="285"/>
        </w:tabs>
        <w:jc w:val="both"/>
      </w:pPr>
      <w:r>
        <w:t>•</w:t>
      </w:r>
      <w:r>
        <w:tab/>
        <w:t>Увреждане от тежест при естествено натрупване на сняг или лед, падане на лавина;</w:t>
      </w:r>
    </w:p>
    <w:p w:rsidR="00237A43" w:rsidRDefault="00237A43" w:rsidP="00237A43">
      <w:pPr>
        <w:tabs>
          <w:tab w:val="left" w:pos="285"/>
        </w:tabs>
        <w:jc w:val="both"/>
      </w:pPr>
      <w:r>
        <w:t>•</w:t>
      </w:r>
      <w:r>
        <w:tab/>
        <w:t>Действие на подпочвени води</w:t>
      </w:r>
    </w:p>
    <w:p w:rsidR="00237A43" w:rsidRDefault="00237A43" w:rsidP="00237A43">
      <w:pPr>
        <w:tabs>
          <w:tab w:val="left" w:pos="285"/>
        </w:tabs>
        <w:jc w:val="both"/>
      </w:pPr>
      <w:r>
        <w:t>•</w:t>
      </w:r>
      <w:r>
        <w:tab/>
        <w:t>Свличане и струпване на земни пластове;</w:t>
      </w:r>
    </w:p>
    <w:p w:rsidR="00237A43" w:rsidRDefault="00237A43" w:rsidP="00237A43">
      <w:pPr>
        <w:tabs>
          <w:tab w:val="left" w:pos="285"/>
        </w:tabs>
        <w:jc w:val="both"/>
      </w:pPr>
      <w:r>
        <w:t>•</w:t>
      </w:r>
      <w:r>
        <w:tab/>
        <w:t>Градушка;</w:t>
      </w:r>
    </w:p>
    <w:p w:rsidR="00237A43" w:rsidRDefault="00237A43" w:rsidP="00237A43">
      <w:pPr>
        <w:tabs>
          <w:tab w:val="left" w:pos="285"/>
        </w:tabs>
        <w:jc w:val="both"/>
      </w:pPr>
      <w:r>
        <w:t>•</w:t>
      </w:r>
      <w:r>
        <w:tab/>
        <w:t>Измръзване;</w:t>
      </w:r>
    </w:p>
    <w:p w:rsidR="00237A43" w:rsidRDefault="00237A43" w:rsidP="00237A43">
      <w:pPr>
        <w:tabs>
          <w:tab w:val="left" w:pos="285"/>
        </w:tabs>
        <w:jc w:val="both"/>
      </w:pPr>
      <w:r>
        <w:t>•</w:t>
      </w:r>
      <w:r>
        <w:tab/>
        <w:t>Удар от пътно превозно средство или животно, авария на подемни машини;</w:t>
      </w:r>
    </w:p>
    <w:p w:rsidR="00237A43" w:rsidRDefault="00237A43" w:rsidP="00237A43">
      <w:pPr>
        <w:tabs>
          <w:tab w:val="left" w:pos="285"/>
        </w:tabs>
        <w:jc w:val="both"/>
      </w:pPr>
      <w:r>
        <w:t>•</w:t>
      </w:r>
      <w:r>
        <w:tab/>
        <w:t xml:space="preserve">Внезапно изтичане на вода от </w:t>
      </w:r>
      <w:proofErr w:type="spellStart"/>
      <w:r>
        <w:t>спринклерни</w:t>
      </w:r>
      <w:proofErr w:type="spellEnd"/>
      <w:r>
        <w:t xml:space="preserve"> инсталации;</w:t>
      </w:r>
    </w:p>
    <w:p w:rsidR="00237A43" w:rsidRDefault="00237A43" w:rsidP="00237A43">
      <w:pPr>
        <w:tabs>
          <w:tab w:val="left" w:pos="285"/>
        </w:tabs>
        <w:jc w:val="both"/>
      </w:pPr>
      <w:r>
        <w:t>•</w:t>
      </w:r>
      <w:r>
        <w:tab/>
        <w:t>Авария на водопроводни, канализационни, отоплителни и климатични инсталации;</w:t>
      </w:r>
    </w:p>
    <w:p w:rsidR="00237A43" w:rsidRDefault="00237A43" w:rsidP="00237A43">
      <w:pPr>
        <w:tabs>
          <w:tab w:val="left" w:pos="285"/>
        </w:tabs>
        <w:jc w:val="both"/>
      </w:pPr>
      <w:r>
        <w:t>•</w:t>
      </w:r>
      <w:r>
        <w:tab/>
        <w:t>Ударна вълна;</w:t>
      </w:r>
    </w:p>
    <w:p w:rsidR="00237A43" w:rsidRDefault="00237A43" w:rsidP="00237A43">
      <w:pPr>
        <w:tabs>
          <w:tab w:val="left" w:pos="285"/>
        </w:tabs>
        <w:jc w:val="both"/>
      </w:pPr>
      <w:r>
        <w:t>•</w:t>
      </w:r>
      <w:r>
        <w:tab/>
        <w:t>Късо съединение и токов удар;</w:t>
      </w:r>
    </w:p>
    <w:p w:rsidR="00237A43" w:rsidRDefault="00237A43" w:rsidP="00237A43">
      <w:pPr>
        <w:tabs>
          <w:tab w:val="left" w:pos="285"/>
        </w:tabs>
        <w:jc w:val="both"/>
      </w:pPr>
      <w:r>
        <w:t>•</w:t>
      </w:r>
      <w:r>
        <w:tab/>
        <w:t>Земетресение;</w:t>
      </w:r>
    </w:p>
    <w:p w:rsidR="00237A43" w:rsidRDefault="00237A43" w:rsidP="00237A43">
      <w:pPr>
        <w:tabs>
          <w:tab w:val="left" w:pos="285"/>
        </w:tabs>
        <w:jc w:val="both"/>
      </w:pPr>
      <w:r>
        <w:t>•</w:t>
      </w:r>
      <w:r>
        <w:tab/>
        <w:t>Вандализъм, умишлено увреждане или злоумишлени действия на трети лица</w:t>
      </w:r>
    </w:p>
    <w:p w:rsidR="00237A43" w:rsidRDefault="00237A43" w:rsidP="00237A43">
      <w:pPr>
        <w:tabs>
          <w:tab w:val="left" w:pos="285"/>
        </w:tabs>
        <w:jc w:val="both"/>
        <w:rPr>
          <w:color w:val="800000"/>
          <w:shd w:val="clear" w:color="auto" w:fill="FFFF00"/>
        </w:rPr>
      </w:pPr>
      <w:r>
        <w:t>•</w:t>
      </w:r>
      <w:r>
        <w:tab/>
        <w:t>злоумишлен пожар и злоумишлена експлозия;</w:t>
      </w:r>
    </w:p>
    <w:p w:rsidR="00237A43" w:rsidRDefault="00237A43" w:rsidP="00237A43">
      <w:pPr>
        <w:jc w:val="both"/>
        <w:rPr>
          <w:lang w:val="en-US"/>
        </w:rPr>
      </w:pPr>
    </w:p>
    <w:p w:rsidR="00347639" w:rsidRPr="00347639" w:rsidRDefault="00347639" w:rsidP="00237A43">
      <w:pPr>
        <w:jc w:val="both"/>
        <w:rPr>
          <w:lang w:val="en-US"/>
        </w:rPr>
      </w:pPr>
    </w:p>
    <w:p w:rsidR="00237A43" w:rsidRDefault="00237A43" w:rsidP="00237A43">
      <w:pPr>
        <w:jc w:val="both"/>
      </w:pPr>
      <w:r>
        <w:t>3.</w:t>
      </w:r>
      <w:r>
        <w:tab/>
        <w:t>Застрахователна сума: Застрахователната сума за медицинска апаратура,  съгласно справка за действителната/възстановителната й стойност е в размер на: 486 220 лв. /четиристотин осемдесет и шест хиляди двеста и двадесет  лева /.</w:t>
      </w:r>
    </w:p>
    <w:p w:rsidR="00237A43" w:rsidRDefault="00237A43" w:rsidP="00237A43">
      <w:pPr>
        <w:jc w:val="both"/>
      </w:pPr>
      <w:r>
        <w:lastRenderedPageBreak/>
        <w:t>Застрахователната сума за всеки отделен актив е посочена в Приложение №: 1 към настоящето задание.</w:t>
      </w:r>
    </w:p>
    <w:p w:rsidR="00237A43" w:rsidRDefault="00237A43" w:rsidP="00237A43">
      <w:pPr>
        <w:jc w:val="both"/>
      </w:pPr>
      <w:r>
        <w:t xml:space="preserve">* Забележка: Активите, обект на застраховане са дарени на </w:t>
      </w:r>
      <w:r>
        <w:rPr>
          <w:color w:val="000000"/>
        </w:rPr>
        <w:t>УМБАЛ ”СВЕТИ ГЕОРГИ” ЕАД</w:t>
      </w:r>
      <w:r>
        <w:t xml:space="preserve"> от </w:t>
      </w:r>
      <w:r>
        <w:rPr>
          <w:rFonts w:eastAsia="Calibri"/>
          <w:color w:val="00000A"/>
        </w:rPr>
        <w:t xml:space="preserve">Благотворителната </w:t>
      </w:r>
      <w:r>
        <w:rPr>
          <w:rStyle w:val="Emphasis"/>
          <w:rFonts w:eastAsia="Calibri"/>
          <w:color w:val="00000A"/>
        </w:rPr>
        <w:t xml:space="preserve">кампания </w:t>
      </w:r>
      <w:r>
        <w:rPr>
          <w:rFonts w:eastAsia="Calibri"/>
          <w:color w:val="00000A"/>
        </w:rPr>
        <w:t>„</w:t>
      </w:r>
      <w:r>
        <w:rPr>
          <w:rStyle w:val="Emphasis"/>
          <w:rFonts w:eastAsia="Calibri"/>
          <w:color w:val="00000A"/>
        </w:rPr>
        <w:t>Българската Коледа</w:t>
      </w:r>
      <w:r>
        <w:rPr>
          <w:rFonts w:eastAsia="Calibri"/>
          <w:color w:val="00000A"/>
        </w:rPr>
        <w:t>“. По тази причина, Застраховащият не разполага с фактури за придобиването им, а посочените в описа стойности са на база на договорите за закупуване на активите от доставчиците на съответният актив.</w:t>
      </w:r>
    </w:p>
    <w:p w:rsidR="00237A43" w:rsidRDefault="00237A43" w:rsidP="00237A43">
      <w:pPr>
        <w:jc w:val="both"/>
      </w:pPr>
    </w:p>
    <w:p w:rsidR="00237A43" w:rsidRDefault="00237A43" w:rsidP="00237A43">
      <w:pPr>
        <w:jc w:val="both"/>
        <w:rPr>
          <w:shd w:val="clear" w:color="auto" w:fill="FFFF00"/>
        </w:rPr>
      </w:pPr>
      <w:r>
        <w:t>4.</w:t>
      </w:r>
      <w:r>
        <w:tab/>
        <w:t xml:space="preserve">Застрахователят следва да приеме предложената от </w:t>
      </w:r>
      <w:r>
        <w:rPr>
          <w:color w:val="000000"/>
        </w:rPr>
        <w:t>УМБАЛ ”СВЕТИ ГЕОРГИ” ЕАД</w:t>
      </w:r>
      <w:r>
        <w:t xml:space="preserve"> застрахователна сума за всеки актив, съгласно описа в </w:t>
      </w:r>
      <w:r w:rsidR="004A5F8D">
        <w:rPr>
          <w:rStyle w:val="Strong"/>
          <w:rFonts w:eastAsia="Tahoma"/>
          <w:iCs/>
          <w:color w:val="000000"/>
        </w:rPr>
        <w:t>Приложение №1</w:t>
      </w:r>
      <w:r w:rsidR="004A5F8D">
        <w:rPr>
          <w:rStyle w:val="Strong"/>
          <w:rFonts w:eastAsia="Tahoma"/>
          <w:iCs/>
          <w:color w:val="000000"/>
        </w:rPr>
        <w:t xml:space="preserve"> </w:t>
      </w:r>
      <w:r>
        <w:t xml:space="preserve">и се съгласява, че при настъпване на застрахователно събитие, обезщетението ще се определя на база възстановителна стойност, като имуществото няма да се счита за </w:t>
      </w:r>
      <w:proofErr w:type="spellStart"/>
      <w:r>
        <w:t>подзастраховано</w:t>
      </w:r>
      <w:proofErr w:type="spellEnd"/>
      <w:r>
        <w:t xml:space="preserve"> или </w:t>
      </w:r>
      <w:proofErr w:type="spellStart"/>
      <w:r>
        <w:t>надзастраховано</w:t>
      </w:r>
      <w:proofErr w:type="spellEnd"/>
      <w:r>
        <w:t xml:space="preserve"> и няма да редуцира размера на застрахователното обезщетение, позовавайки се на наличие на </w:t>
      </w:r>
      <w:proofErr w:type="spellStart"/>
      <w:r>
        <w:t>подзастраховане</w:t>
      </w:r>
      <w:proofErr w:type="spellEnd"/>
      <w:r>
        <w:t xml:space="preserve"> или </w:t>
      </w:r>
      <w:proofErr w:type="spellStart"/>
      <w:r>
        <w:t>надзастраховане</w:t>
      </w:r>
      <w:proofErr w:type="spellEnd"/>
      <w:r>
        <w:t>.</w:t>
      </w:r>
    </w:p>
    <w:p w:rsidR="00237A43" w:rsidRDefault="00237A43" w:rsidP="00237A43">
      <w:pPr>
        <w:jc w:val="both"/>
        <w:rPr>
          <w:shd w:val="clear" w:color="auto" w:fill="FFFF00"/>
        </w:rPr>
      </w:pPr>
    </w:p>
    <w:p w:rsidR="00237A43" w:rsidRDefault="00237A43" w:rsidP="00237A43">
      <w:pPr>
        <w:jc w:val="both"/>
      </w:pPr>
      <w:r>
        <w:t>5.</w:t>
      </w:r>
      <w:r>
        <w:tab/>
        <w:t>Отговорността на Застрахователя за покрити застрахователни рискове: на база 100% застрахователната сума.</w:t>
      </w:r>
    </w:p>
    <w:p w:rsidR="00237A43" w:rsidRDefault="00237A43" w:rsidP="00237A43">
      <w:pPr>
        <w:jc w:val="both"/>
      </w:pPr>
    </w:p>
    <w:p w:rsidR="00237A43" w:rsidRDefault="00237A43" w:rsidP="00237A43">
      <w:pPr>
        <w:jc w:val="both"/>
      </w:pPr>
      <w:r>
        <w:t>6.</w:t>
      </w:r>
      <w:r>
        <w:tab/>
        <w:t xml:space="preserve">В случай, че Възложителят придобие нови активи, след сключване и влизане в сила на застрахователния договор и има необходимост от застраховането им, то те да могат да се застраховат при спазване на договорените по силата на сключения застрахователен договор условия, от датата на тяхното зачисляване като активи на </w:t>
      </w:r>
      <w:r>
        <w:rPr>
          <w:color w:val="000000"/>
        </w:rPr>
        <w:t>УМБАЛ ”СВЕТИ ГЕОРГИ” ЕАД</w:t>
      </w:r>
      <w:r>
        <w:t xml:space="preserve"> до края на срока на сключения застрахователния договор, по усмотрение на Възложителя.</w:t>
      </w:r>
    </w:p>
    <w:p w:rsidR="00237A43" w:rsidRDefault="00237A43" w:rsidP="00237A43">
      <w:pPr>
        <w:jc w:val="both"/>
      </w:pPr>
    </w:p>
    <w:p w:rsidR="00237A43" w:rsidRDefault="00237A43" w:rsidP="00237A43">
      <w:pPr>
        <w:jc w:val="both"/>
      </w:pPr>
      <w:r>
        <w:t>7.</w:t>
      </w:r>
      <w:r>
        <w:tab/>
        <w:t>Застрахователната премия по застраховката на движимото имущество трябва да включва и дължимият Данък върху застрахователните премии (</w:t>
      </w:r>
      <w:proofErr w:type="spellStart"/>
      <w:r>
        <w:t>обн</w:t>
      </w:r>
      <w:proofErr w:type="spellEnd"/>
      <w:r>
        <w:t>. Държавен вестник, бр. 86 от 02.11.2010 г., в сила от 01.</w:t>
      </w:r>
      <w:proofErr w:type="spellStart"/>
      <w:r>
        <w:t>01</w:t>
      </w:r>
      <w:proofErr w:type="spellEnd"/>
      <w:r>
        <w:t>.2011 г.).</w:t>
      </w:r>
    </w:p>
    <w:p w:rsidR="00237A43" w:rsidRDefault="00237A43" w:rsidP="00237A43">
      <w:pPr>
        <w:jc w:val="both"/>
      </w:pPr>
    </w:p>
    <w:p w:rsidR="00237A43" w:rsidRDefault="00237A43" w:rsidP="00237A43">
      <w:pPr>
        <w:jc w:val="both"/>
      </w:pPr>
      <w:r>
        <w:t>8.</w:t>
      </w:r>
      <w:r>
        <w:tab/>
        <w:t>Застрахователната премия не трябва да включва отстъпки/ бонуси, които да бъдат изискуеми и дължими към участника/ застрахователя при настъпване на застрахователно събитие.</w:t>
      </w:r>
    </w:p>
    <w:p w:rsidR="00237A43" w:rsidRDefault="00237A43" w:rsidP="00237A43">
      <w:pPr>
        <w:jc w:val="both"/>
      </w:pPr>
    </w:p>
    <w:p w:rsidR="00237A43" w:rsidRDefault="00237A43" w:rsidP="00237A43">
      <w:pPr>
        <w:jc w:val="both"/>
      </w:pPr>
      <w:r>
        <w:t xml:space="preserve">9. Застрахователният договор следва да бъде сключен без прилагане на </w:t>
      </w:r>
      <w:proofErr w:type="spellStart"/>
      <w:r>
        <w:t>франшиз</w:t>
      </w:r>
      <w:proofErr w:type="spellEnd"/>
      <w:r>
        <w:t xml:space="preserve"> /</w:t>
      </w:r>
      <w:proofErr w:type="spellStart"/>
      <w:r>
        <w:t>самоучастие</w:t>
      </w:r>
      <w:proofErr w:type="spellEnd"/>
      <w:r>
        <w:t xml:space="preserve"> на застрахования/ по нито една от клаузите, както и да не предвижда необходимост от </w:t>
      </w:r>
      <w:proofErr w:type="spellStart"/>
      <w:r>
        <w:t>дозастраховане</w:t>
      </w:r>
      <w:proofErr w:type="spellEnd"/>
      <w:r>
        <w:t xml:space="preserve"> след изплащане на обезщетение, независимо от размера на изплатените обезщетения.  В уверение на същото следва участникът да представи декларация, че не предвижда прилагане на </w:t>
      </w:r>
      <w:proofErr w:type="spellStart"/>
      <w:r>
        <w:t>самоучастия</w:t>
      </w:r>
      <w:proofErr w:type="spellEnd"/>
      <w:r>
        <w:t xml:space="preserve"> и </w:t>
      </w:r>
      <w:proofErr w:type="spellStart"/>
      <w:r>
        <w:t>дозастраховане</w:t>
      </w:r>
      <w:proofErr w:type="spellEnd"/>
      <w:r>
        <w:t xml:space="preserve"> на Възложителя при определяне на обезщетението или да посочи изискването изрично в офертата, като при издаване на застрахователната полици, да е вписано, че същата е сключена при изпълнение на условията в изготвената оферта.</w:t>
      </w:r>
    </w:p>
    <w:p w:rsidR="00237A43" w:rsidRDefault="00237A43" w:rsidP="00237A43">
      <w:pPr>
        <w:jc w:val="both"/>
      </w:pPr>
    </w:p>
    <w:p w:rsidR="00237A43" w:rsidRDefault="00237A43" w:rsidP="00237A43">
      <w:pPr>
        <w:jc w:val="both"/>
      </w:pPr>
    </w:p>
    <w:p w:rsidR="00237A43" w:rsidRDefault="00237A43" w:rsidP="00237A43">
      <w:pPr>
        <w:jc w:val="both"/>
      </w:pPr>
      <w:r>
        <w:t>10. Условия на плащане на застрахователната премия:</w:t>
      </w:r>
    </w:p>
    <w:p w:rsidR="00237A43" w:rsidRDefault="00237A43" w:rsidP="00237A43">
      <w:pPr>
        <w:jc w:val="both"/>
      </w:pPr>
    </w:p>
    <w:p w:rsidR="00237A43" w:rsidRDefault="00237A43" w:rsidP="00237A43">
      <w:pPr>
        <w:jc w:val="both"/>
      </w:pPr>
      <w:r>
        <w:t>а/ еднократно или разсрочено /до четири равни вноски/, без завишение, в български лв. по банков път</w:t>
      </w:r>
    </w:p>
    <w:p w:rsidR="00237A43" w:rsidRDefault="00237A43" w:rsidP="00237A43">
      <w:pPr>
        <w:jc w:val="both"/>
      </w:pPr>
    </w:p>
    <w:p w:rsidR="00237A43" w:rsidRDefault="00237A43" w:rsidP="00237A43">
      <w:pPr>
        <w:jc w:val="both"/>
      </w:pPr>
      <w:r>
        <w:t>б/ застрахователната премия се издължава до 15 работни дни, след влизане в сила на застрахователната полица.</w:t>
      </w:r>
    </w:p>
    <w:p w:rsidR="00237A43" w:rsidRDefault="00237A43" w:rsidP="00237A43">
      <w:pPr>
        <w:jc w:val="both"/>
      </w:pPr>
    </w:p>
    <w:p w:rsidR="00237A43" w:rsidRDefault="00237A43" w:rsidP="00237A43">
      <w:pPr>
        <w:jc w:val="both"/>
      </w:pPr>
      <w:r>
        <w:t>11. Вредите се установяват чрез оглед, описание и оценка от Застрахователя в присъствието на Застрахования.</w:t>
      </w:r>
    </w:p>
    <w:p w:rsidR="00237A43" w:rsidRDefault="00237A43" w:rsidP="00237A43">
      <w:pPr>
        <w:jc w:val="both"/>
      </w:pPr>
    </w:p>
    <w:p w:rsidR="00237A43" w:rsidRDefault="00237A43" w:rsidP="00237A43">
      <w:pPr>
        <w:jc w:val="both"/>
      </w:pPr>
      <w:r>
        <w:t>12.</w:t>
      </w:r>
      <w:r>
        <w:tab/>
        <w:t>Размерът на застрахователното обезщетение се определя на база възстановителна стойност на загубата/щетата, в рамките на застрахователната сума за съответното имущество, като:</w:t>
      </w:r>
    </w:p>
    <w:p w:rsidR="00237A43" w:rsidRDefault="00237A43" w:rsidP="00237A43">
      <w:pPr>
        <w:jc w:val="both"/>
      </w:pPr>
    </w:p>
    <w:p w:rsidR="00237A43" w:rsidRDefault="00237A43" w:rsidP="00237A43">
      <w:pPr>
        <w:jc w:val="both"/>
      </w:pPr>
      <w:r>
        <w:lastRenderedPageBreak/>
        <w:t>а/ при частични щети: размерът на обезщетението е на база на необходимите разходи за възстановяването на увреденото имущество във вида преди щетата, в това число труд и материали за извършване на ремонта;</w:t>
      </w:r>
    </w:p>
    <w:p w:rsidR="00237A43" w:rsidRDefault="00237A43" w:rsidP="00237A43">
      <w:pPr>
        <w:pStyle w:val="BodyTextIndent2"/>
        <w:tabs>
          <w:tab w:val="left" w:pos="404"/>
        </w:tabs>
        <w:spacing w:line="240" w:lineRule="auto"/>
        <w:rPr>
          <w:rFonts w:cs="Times New Roman"/>
          <w:szCs w:val="24"/>
        </w:rPr>
      </w:pPr>
      <w:r>
        <w:rPr>
          <w:rFonts w:ascii="Times New Roman" w:hAnsi="Times New Roman" w:cs="Times New Roman"/>
          <w:szCs w:val="24"/>
          <w:lang w:val="bg-BG"/>
        </w:rPr>
        <w:t>Ако стойността на ремонта ще надхвърля 70% от застрахователната сума, то по преценка на застрахования, че ремонта би бил нерентабилен и след писмено искане към застрахователят щетата да бъде определена като тотална, застрахователят се задължава да изплати на застрахования застрахователната сума;</w:t>
      </w:r>
    </w:p>
    <w:p w:rsidR="00237A43" w:rsidRDefault="00237A43" w:rsidP="00237A43">
      <w:pPr>
        <w:jc w:val="both"/>
      </w:pPr>
    </w:p>
    <w:p w:rsidR="00237A43" w:rsidRDefault="00237A43" w:rsidP="00237A43">
      <w:pPr>
        <w:jc w:val="both"/>
      </w:pPr>
      <w:r>
        <w:t>б/ при тотални щети: размерът на вредата е равен на застрахователната сума на увредените или погинали имущества, съгласно посоченото в Приложение №: 1 към настоящето задание</w:t>
      </w:r>
    </w:p>
    <w:p w:rsidR="00237A43" w:rsidRDefault="00237A43" w:rsidP="00237A43">
      <w:pPr>
        <w:jc w:val="both"/>
      </w:pPr>
    </w:p>
    <w:p w:rsidR="00237A43" w:rsidRDefault="00237A43" w:rsidP="00237A43">
      <w:pPr>
        <w:jc w:val="both"/>
      </w:pPr>
      <w:r>
        <w:t>в/ от размера на одобреното обезщетението не следва да се удържат суми, за които могат да бъдат реализирани запазените части от увреденото имущество, ако застрахованият декларира пред застрахователя, че не желае и не може да реализира въпросните запазени части;</w:t>
      </w:r>
    </w:p>
    <w:p w:rsidR="00237A43" w:rsidRDefault="00237A43" w:rsidP="00237A43">
      <w:pPr>
        <w:jc w:val="both"/>
      </w:pPr>
    </w:p>
    <w:p w:rsidR="00237A43" w:rsidRDefault="00237A43" w:rsidP="00237A43">
      <w:pPr>
        <w:jc w:val="both"/>
      </w:pPr>
      <w:r>
        <w:t>13.</w:t>
      </w:r>
      <w:r>
        <w:tab/>
        <w:t>Срок за изплащане на застрахователното обезщетение:</w:t>
      </w:r>
    </w:p>
    <w:p w:rsidR="00237A43" w:rsidRDefault="00237A43" w:rsidP="00237A43">
      <w:pPr>
        <w:jc w:val="both"/>
      </w:pPr>
    </w:p>
    <w:p w:rsidR="00237A43" w:rsidRDefault="00237A43" w:rsidP="00237A43">
      <w:pPr>
        <w:jc w:val="both"/>
      </w:pPr>
      <w:r>
        <w:t>а/ по договореност, при щети с особено голям размер, се допуска предварително изплащане по банков път до 50% от приблизителния размер на обезщетението, преди приключване на ремонта.</w:t>
      </w:r>
    </w:p>
    <w:p w:rsidR="00237A43" w:rsidRDefault="00237A43" w:rsidP="00237A43">
      <w:pPr>
        <w:jc w:val="both"/>
      </w:pPr>
      <w:r>
        <w:t>б/ авансовото  плащане се извършва по банков път до 24 часа, след представяне от страна на Застрахования на всички документи и данни, необходими за установяване на вредата по основание и приблизителен размер, и след осъществен оглед от страна на Застрахователя.</w:t>
      </w:r>
    </w:p>
    <w:p w:rsidR="00237A43" w:rsidRDefault="00237A43" w:rsidP="00237A43">
      <w:pPr>
        <w:jc w:val="both"/>
      </w:pPr>
      <w:r>
        <w:t>в/ окончателно определения размер на обезщетението с приспадане на авансовото плащане се изплаща по банков път в срок от 15 дни след представяне от страна на Застрахования на всички писмени документи и данни, необходими за установяване на вредата по основание и размер.</w:t>
      </w:r>
    </w:p>
    <w:p w:rsidR="00237A43" w:rsidRDefault="00237A43" w:rsidP="00237A43">
      <w:pPr>
        <w:jc w:val="both"/>
      </w:pPr>
    </w:p>
    <w:p w:rsidR="00237A43" w:rsidRDefault="00237A43" w:rsidP="00237A43">
      <w:pPr>
        <w:jc w:val="both"/>
      </w:pPr>
      <w:r>
        <w:t>14.</w:t>
      </w:r>
      <w:r>
        <w:tab/>
        <w:t>Оценка на щетите се извършва към датата на настъпване на застрахователното събитие въз основа на оглед и оценка от вещо лице, по цени на Застрахователя, предварително съгласувани с Застрахования или по фактури за извършен ремонт, след предварително съгласуване със застрахователя.</w:t>
      </w:r>
    </w:p>
    <w:p w:rsidR="00237A43" w:rsidRDefault="00237A43" w:rsidP="00237A43">
      <w:pPr>
        <w:jc w:val="both"/>
      </w:pPr>
    </w:p>
    <w:p w:rsidR="00237A43" w:rsidRDefault="00237A43" w:rsidP="00237A43">
      <w:pPr>
        <w:jc w:val="both"/>
      </w:pPr>
      <w:r>
        <w:t>15.</w:t>
      </w:r>
      <w:r>
        <w:tab/>
        <w:t>Срок на застраховката: Застрахователната полица се сключва за срок от 12 месеца, като срокът й започва да тече от 00.00 часа на денят, след датата на сключване на договора с избраният за изпълнител участник.</w:t>
      </w:r>
    </w:p>
    <w:p w:rsidR="00237A43" w:rsidRDefault="00237A43" w:rsidP="00237A43">
      <w:pPr>
        <w:jc w:val="both"/>
      </w:pPr>
    </w:p>
    <w:p w:rsidR="00237A43" w:rsidRDefault="00237A43" w:rsidP="00237A43">
      <w:pPr>
        <w:ind w:left="15"/>
        <w:jc w:val="both"/>
      </w:pPr>
      <w:r>
        <w:t>16.</w:t>
      </w:r>
      <w:r>
        <w:tab/>
        <w:t>При сключване и изпълнение на застрахователният договори ще бъдат ползвани услугите на „</w:t>
      </w:r>
      <w:proofErr w:type="spellStart"/>
      <w:r>
        <w:t>Амарант</w:t>
      </w:r>
      <w:proofErr w:type="spellEnd"/>
      <w:r>
        <w:t xml:space="preserve"> България” ООД</w:t>
      </w:r>
      <w:r>
        <w:rPr>
          <w:color w:val="000000"/>
          <w:lang w:val="en-US"/>
        </w:rPr>
        <w:t xml:space="preserve"> – </w:t>
      </w:r>
      <w:proofErr w:type="spellStart"/>
      <w:r>
        <w:rPr>
          <w:color w:val="000000"/>
          <w:lang w:val="en-US"/>
        </w:rPr>
        <w:t>лицензиран</w:t>
      </w:r>
      <w:proofErr w:type="spellEnd"/>
      <w:r>
        <w:rPr>
          <w:color w:val="000000"/>
          <w:lang w:val="en-US"/>
        </w:rPr>
        <w:t xml:space="preserve"> </w:t>
      </w:r>
      <w:proofErr w:type="spellStart"/>
      <w:r>
        <w:rPr>
          <w:color w:val="000000"/>
          <w:lang w:val="en-US"/>
        </w:rPr>
        <w:t>застрахователен</w:t>
      </w:r>
      <w:proofErr w:type="spellEnd"/>
      <w:r>
        <w:rPr>
          <w:color w:val="000000"/>
          <w:lang w:val="en-US"/>
        </w:rPr>
        <w:t xml:space="preserve"> </w:t>
      </w:r>
      <w:proofErr w:type="spellStart"/>
      <w:r>
        <w:rPr>
          <w:color w:val="000000"/>
          <w:lang w:val="en-US"/>
        </w:rPr>
        <w:t>брокер</w:t>
      </w:r>
      <w:proofErr w:type="spellEnd"/>
      <w:r>
        <w:rPr>
          <w:color w:val="000000"/>
          <w:lang w:val="en-US"/>
        </w:rPr>
        <w:t xml:space="preserve">, </w:t>
      </w:r>
      <w:r>
        <w:rPr>
          <w:color w:val="000000"/>
        </w:rPr>
        <w:t>в качеството му на обслужващ брокер на УМБАЛ ”СВЕТИ ГЕОРГИ” ЕАД, съгласно договор за възлагане от</w:t>
      </w:r>
      <w:r>
        <w:rPr>
          <w:color w:val="800000"/>
        </w:rPr>
        <w:t xml:space="preserve"> </w:t>
      </w:r>
      <w:r>
        <w:rPr>
          <w:color w:val="000000"/>
        </w:rPr>
        <w:t>26.11.2012г.</w:t>
      </w:r>
    </w:p>
    <w:p w:rsidR="00237A43" w:rsidRDefault="00237A43" w:rsidP="00237A43">
      <w:pPr>
        <w:ind w:left="15"/>
        <w:jc w:val="both"/>
      </w:pPr>
    </w:p>
    <w:sectPr w:rsidR="00237A43">
      <w:headerReference w:type="default" r:id="rId8"/>
      <w:pgSz w:w="11906" w:h="16838"/>
      <w:pgMar w:top="1392" w:right="656" w:bottom="637" w:left="674" w:header="19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117" w:rsidRDefault="009C2117">
      <w:r>
        <w:separator/>
      </w:r>
    </w:p>
  </w:endnote>
  <w:endnote w:type="continuationSeparator" w:id="0">
    <w:p w:rsidR="009C2117" w:rsidRDefault="009C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117" w:rsidRDefault="009C2117">
      <w:r>
        <w:separator/>
      </w:r>
    </w:p>
  </w:footnote>
  <w:footnote w:type="continuationSeparator" w:id="0">
    <w:p w:rsidR="009C2117" w:rsidRDefault="009C2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B0" w:rsidRDefault="00AE7FB0">
    <w:pPr>
      <w:pStyle w:val="Header"/>
    </w:pPr>
  </w:p>
  <w:p w:rsidR="00AE7FB0" w:rsidRDefault="00AE7F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OpenSymbol" w:hAnsi="OpenSymbol" w:cs="OpenSymbol"/>
        <w:sz w:val="24"/>
      </w:rPr>
    </w:lvl>
    <w:lvl w:ilvl="2">
      <w:start w:val="1"/>
      <w:numFmt w:val="bullet"/>
      <w:lvlText w:val="▪"/>
      <w:lvlJc w:val="left"/>
      <w:pPr>
        <w:tabs>
          <w:tab w:val="num" w:pos="1440"/>
        </w:tabs>
        <w:ind w:left="1440" w:hanging="360"/>
      </w:pPr>
      <w:rPr>
        <w:rFonts w:ascii="OpenSymbol" w:hAnsi="OpenSymbol" w:cs="OpenSymbol"/>
        <w:sz w:val="24"/>
      </w:rPr>
    </w:lvl>
    <w:lvl w:ilvl="3">
      <w:start w:val="1"/>
      <w:numFmt w:val="bullet"/>
      <w:lvlText w:val=""/>
      <w:lvlJc w:val="left"/>
      <w:pPr>
        <w:tabs>
          <w:tab w:val="num" w:pos="1800"/>
        </w:tabs>
        <w:ind w:left="1800" w:hanging="360"/>
      </w:pPr>
      <w:rPr>
        <w:rFonts w:ascii="Symbol" w:hAnsi="Symbol" w:cs="OpenSymbol"/>
        <w:sz w:val="24"/>
      </w:rPr>
    </w:lvl>
    <w:lvl w:ilvl="4">
      <w:start w:val="1"/>
      <w:numFmt w:val="bullet"/>
      <w:lvlText w:val="◦"/>
      <w:lvlJc w:val="left"/>
      <w:pPr>
        <w:tabs>
          <w:tab w:val="num" w:pos="2160"/>
        </w:tabs>
        <w:ind w:left="2160" w:hanging="360"/>
      </w:pPr>
      <w:rPr>
        <w:rFonts w:ascii="OpenSymbol" w:hAnsi="OpenSymbol" w:cs="OpenSymbol"/>
        <w:sz w:val="24"/>
      </w:rPr>
    </w:lvl>
    <w:lvl w:ilvl="5">
      <w:start w:val="1"/>
      <w:numFmt w:val="bullet"/>
      <w:lvlText w:val="▪"/>
      <w:lvlJc w:val="left"/>
      <w:pPr>
        <w:tabs>
          <w:tab w:val="num" w:pos="2520"/>
        </w:tabs>
        <w:ind w:left="2520" w:hanging="360"/>
      </w:pPr>
      <w:rPr>
        <w:rFonts w:ascii="OpenSymbol" w:hAnsi="OpenSymbol" w:cs="OpenSymbol"/>
        <w:sz w:val="24"/>
      </w:rPr>
    </w:lvl>
    <w:lvl w:ilvl="6">
      <w:start w:val="1"/>
      <w:numFmt w:val="bullet"/>
      <w:lvlText w:val=""/>
      <w:lvlJc w:val="left"/>
      <w:pPr>
        <w:tabs>
          <w:tab w:val="num" w:pos="2880"/>
        </w:tabs>
        <w:ind w:left="2880" w:hanging="360"/>
      </w:pPr>
      <w:rPr>
        <w:rFonts w:ascii="Symbol" w:hAnsi="Symbol" w:cs="OpenSymbol"/>
        <w:sz w:val="24"/>
      </w:rPr>
    </w:lvl>
    <w:lvl w:ilvl="7">
      <w:start w:val="1"/>
      <w:numFmt w:val="bullet"/>
      <w:lvlText w:val="◦"/>
      <w:lvlJc w:val="left"/>
      <w:pPr>
        <w:tabs>
          <w:tab w:val="num" w:pos="3240"/>
        </w:tabs>
        <w:ind w:left="3240" w:hanging="360"/>
      </w:pPr>
      <w:rPr>
        <w:rFonts w:ascii="OpenSymbol" w:hAnsi="OpenSymbol" w:cs="OpenSymbol"/>
        <w:sz w:val="24"/>
      </w:rPr>
    </w:lvl>
    <w:lvl w:ilvl="8">
      <w:start w:val="1"/>
      <w:numFmt w:val="bullet"/>
      <w:lvlText w:val="▪"/>
      <w:lvlJc w:val="left"/>
      <w:pPr>
        <w:tabs>
          <w:tab w:val="num" w:pos="3600"/>
        </w:tabs>
        <w:ind w:left="3600" w:hanging="360"/>
      </w:pPr>
      <w:rPr>
        <w:rFonts w:ascii="OpenSymbol" w:hAnsi="OpenSymbol" w:cs="OpenSymbol"/>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43"/>
    <w:rsid w:val="00237A43"/>
    <w:rsid w:val="00347639"/>
    <w:rsid w:val="004A5F8D"/>
    <w:rsid w:val="005570BA"/>
    <w:rsid w:val="00682ADD"/>
    <w:rsid w:val="008A78F8"/>
    <w:rsid w:val="009C2117"/>
    <w:rsid w:val="00AE7FB0"/>
    <w:rsid w:val="00C311D6"/>
    <w:rsid w:val="00FA47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43"/>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37A43"/>
    <w:rPr>
      <w:b/>
      <w:bCs/>
    </w:rPr>
  </w:style>
  <w:style w:type="character" w:styleId="Hyperlink">
    <w:name w:val="Hyperlink"/>
    <w:rsid w:val="00237A43"/>
    <w:rPr>
      <w:color w:val="000080"/>
      <w:u w:val="single"/>
    </w:rPr>
  </w:style>
  <w:style w:type="character" w:styleId="Emphasis">
    <w:name w:val="Emphasis"/>
    <w:qFormat/>
    <w:rsid w:val="00237A43"/>
    <w:rPr>
      <w:i/>
      <w:iCs/>
    </w:rPr>
  </w:style>
  <w:style w:type="paragraph" w:styleId="Header">
    <w:name w:val="header"/>
    <w:basedOn w:val="Normal"/>
    <w:link w:val="HeaderChar"/>
    <w:rsid w:val="00237A43"/>
    <w:pPr>
      <w:tabs>
        <w:tab w:val="center" w:pos="4536"/>
        <w:tab w:val="right" w:pos="9072"/>
      </w:tabs>
    </w:pPr>
  </w:style>
  <w:style w:type="character" w:customStyle="1" w:styleId="HeaderChar">
    <w:name w:val="Header Char"/>
    <w:basedOn w:val="DefaultParagraphFont"/>
    <w:link w:val="Header"/>
    <w:rsid w:val="00237A43"/>
    <w:rPr>
      <w:rFonts w:ascii="Times New Roman" w:eastAsia="Times New Roman" w:hAnsi="Times New Roman" w:cs="Times New Roman"/>
      <w:sz w:val="24"/>
      <w:szCs w:val="24"/>
    </w:rPr>
  </w:style>
  <w:style w:type="paragraph" w:styleId="BodyTextIndent2">
    <w:name w:val="Body Text Indent 2"/>
    <w:basedOn w:val="Normal"/>
    <w:link w:val="BodyTextIndent2Char"/>
    <w:rsid w:val="00237A43"/>
    <w:pPr>
      <w:spacing w:line="360" w:lineRule="auto"/>
      <w:ind w:firstLine="720"/>
      <w:jc w:val="both"/>
    </w:pPr>
    <w:rPr>
      <w:rFonts w:ascii="Arial" w:hAnsi="Arial" w:cs="Arial"/>
      <w:szCs w:val="20"/>
      <w:lang w:val="en-US"/>
    </w:rPr>
  </w:style>
  <w:style w:type="character" w:customStyle="1" w:styleId="BodyTextIndent2Char">
    <w:name w:val="Body Text Indent 2 Char"/>
    <w:basedOn w:val="DefaultParagraphFont"/>
    <w:link w:val="BodyTextIndent2"/>
    <w:rsid w:val="00237A43"/>
    <w:rPr>
      <w:rFonts w:ascii="Arial" w:eastAsia="Times New Roman" w:hAnsi="Arial" w:cs="Arial"/>
      <w:sz w:val="24"/>
      <w:szCs w:val="20"/>
      <w:lang w:val="en-US"/>
    </w:rPr>
  </w:style>
  <w:style w:type="paragraph" w:customStyle="1" w:styleId="Textbody">
    <w:name w:val="Text body"/>
    <w:basedOn w:val="Normal"/>
    <w:rsid w:val="00237A43"/>
    <w:pPr>
      <w:spacing w:after="120"/>
      <w:textAlignment w:val="baseline"/>
    </w:pPr>
    <w:rPr>
      <w:color w:val="00000A"/>
      <w:lang w:eastAsia="zh-CN"/>
    </w:rPr>
  </w:style>
  <w:style w:type="paragraph" w:styleId="BalloonText">
    <w:name w:val="Balloon Text"/>
    <w:basedOn w:val="Normal"/>
    <w:link w:val="BalloonTextChar"/>
    <w:uiPriority w:val="99"/>
    <w:semiHidden/>
    <w:unhideWhenUsed/>
    <w:rsid w:val="00237A43"/>
    <w:rPr>
      <w:rFonts w:ascii="Tahoma" w:hAnsi="Tahoma" w:cs="Tahoma"/>
      <w:sz w:val="16"/>
      <w:szCs w:val="16"/>
    </w:rPr>
  </w:style>
  <w:style w:type="character" w:customStyle="1" w:styleId="BalloonTextChar">
    <w:name w:val="Balloon Text Char"/>
    <w:basedOn w:val="DefaultParagraphFont"/>
    <w:link w:val="BalloonText"/>
    <w:uiPriority w:val="99"/>
    <w:semiHidden/>
    <w:rsid w:val="00237A43"/>
    <w:rPr>
      <w:rFonts w:ascii="Tahoma" w:eastAsia="Times New Roman" w:hAnsi="Tahoma" w:cs="Tahoma"/>
      <w:sz w:val="16"/>
      <w:szCs w:val="16"/>
    </w:rPr>
  </w:style>
  <w:style w:type="paragraph" w:styleId="Footer">
    <w:name w:val="footer"/>
    <w:basedOn w:val="Normal"/>
    <w:link w:val="FooterChar"/>
    <w:uiPriority w:val="99"/>
    <w:unhideWhenUsed/>
    <w:rsid w:val="00FA4704"/>
    <w:pPr>
      <w:tabs>
        <w:tab w:val="center" w:pos="4536"/>
        <w:tab w:val="right" w:pos="9072"/>
      </w:tabs>
    </w:pPr>
  </w:style>
  <w:style w:type="character" w:customStyle="1" w:styleId="FooterChar">
    <w:name w:val="Footer Char"/>
    <w:basedOn w:val="DefaultParagraphFont"/>
    <w:link w:val="Footer"/>
    <w:uiPriority w:val="99"/>
    <w:rsid w:val="00FA470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43"/>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37A43"/>
    <w:rPr>
      <w:b/>
      <w:bCs/>
    </w:rPr>
  </w:style>
  <w:style w:type="character" w:styleId="Hyperlink">
    <w:name w:val="Hyperlink"/>
    <w:rsid w:val="00237A43"/>
    <w:rPr>
      <w:color w:val="000080"/>
      <w:u w:val="single"/>
    </w:rPr>
  </w:style>
  <w:style w:type="character" w:styleId="Emphasis">
    <w:name w:val="Emphasis"/>
    <w:qFormat/>
    <w:rsid w:val="00237A43"/>
    <w:rPr>
      <w:i/>
      <w:iCs/>
    </w:rPr>
  </w:style>
  <w:style w:type="paragraph" w:styleId="Header">
    <w:name w:val="header"/>
    <w:basedOn w:val="Normal"/>
    <w:link w:val="HeaderChar"/>
    <w:rsid w:val="00237A43"/>
    <w:pPr>
      <w:tabs>
        <w:tab w:val="center" w:pos="4536"/>
        <w:tab w:val="right" w:pos="9072"/>
      </w:tabs>
    </w:pPr>
  </w:style>
  <w:style w:type="character" w:customStyle="1" w:styleId="HeaderChar">
    <w:name w:val="Header Char"/>
    <w:basedOn w:val="DefaultParagraphFont"/>
    <w:link w:val="Header"/>
    <w:rsid w:val="00237A43"/>
    <w:rPr>
      <w:rFonts w:ascii="Times New Roman" w:eastAsia="Times New Roman" w:hAnsi="Times New Roman" w:cs="Times New Roman"/>
      <w:sz w:val="24"/>
      <w:szCs w:val="24"/>
    </w:rPr>
  </w:style>
  <w:style w:type="paragraph" w:styleId="BodyTextIndent2">
    <w:name w:val="Body Text Indent 2"/>
    <w:basedOn w:val="Normal"/>
    <w:link w:val="BodyTextIndent2Char"/>
    <w:rsid w:val="00237A43"/>
    <w:pPr>
      <w:spacing w:line="360" w:lineRule="auto"/>
      <w:ind w:firstLine="720"/>
      <w:jc w:val="both"/>
    </w:pPr>
    <w:rPr>
      <w:rFonts w:ascii="Arial" w:hAnsi="Arial" w:cs="Arial"/>
      <w:szCs w:val="20"/>
      <w:lang w:val="en-US"/>
    </w:rPr>
  </w:style>
  <w:style w:type="character" w:customStyle="1" w:styleId="BodyTextIndent2Char">
    <w:name w:val="Body Text Indent 2 Char"/>
    <w:basedOn w:val="DefaultParagraphFont"/>
    <w:link w:val="BodyTextIndent2"/>
    <w:rsid w:val="00237A43"/>
    <w:rPr>
      <w:rFonts w:ascii="Arial" w:eastAsia="Times New Roman" w:hAnsi="Arial" w:cs="Arial"/>
      <w:sz w:val="24"/>
      <w:szCs w:val="20"/>
      <w:lang w:val="en-US"/>
    </w:rPr>
  </w:style>
  <w:style w:type="paragraph" w:customStyle="1" w:styleId="Textbody">
    <w:name w:val="Text body"/>
    <w:basedOn w:val="Normal"/>
    <w:rsid w:val="00237A43"/>
    <w:pPr>
      <w:spacing w:after="120"/>
      <w:textAlignment w:val="baseline"/>
    </w:pPr>
    <w:rPr>
      <w:color w:val="00000A"/>
      <w:lang w:eastAsia="zh-CN"/>
    </w:rPr>
  </w:style>
  <w:style w:type="paragraph" w:styleId="BalloonText">
    <w:name w:val="Balloon Text"/>
    <w:basedOn w:val="Normal"/>
    <w:link w:val="BalloonTextChar"/>
    <w:uiPriority w:val="99"/>
    <w:semiHidden/>
    <w:unhideWhenUsed/>
    <w:rsid w:val="00237A43"/>
    <w:rPr>
      <w:rFonts w:ascii="Tahoma" w:hAnsi="Tahoma" w:cs="Tahoma"/>
      <w:sz w:val="16"/>
      <w:szCs w:val="16"/>
    </w:rPr>
  </w:style>
  <w:style w:type="character" w:customStyle="1" w:styleId="BalloonTextChar">
    <w:name w:val="Balloon Text Char"/>
    <w:basedOn w:val="DefaultParagraphFont"/>
    <w:link w:val="BalloonText"/>
    <w:uiPriority w:val="99"/>
    <w:semiHidden/>
    <w:rsid w:val="00237A43"/>
    <w:rPr>
      <w:rFonts w:ascii="Tahoma" w:eastAsia="Times New Roman" w:hAnsi="Tahoma" w:cs="Tahoma"/>
      <w:sz w:val="16"/>
      <w:szCs w:val="16"/>
    </w:rPr>
  </w:style>
  <w:style w:type="paragraph" w:styleId="Footer">
    <w:name w:val="footer"/>
    <w:basedOn w:val="Normal"/>
    <w:link w:val="FooterChar"/>
    <w:uiPriority w:val="99"/>
    <w:unhideWhenUsed/>
    <w:rsid w:val="00FA4704"/>
    <w:pPr>
      <w:tabs>
        <w:tab w:val="center" w:pos="4536"/>
        <w:tab w:val="right" w:pos="9072"/>
      </w:tabs>
    </w:pPr>
  </w:style>
  <w:style w:type="character" w:customStyle="1" w:styleId="FooterChar">
    <w:name w:val="Footer Char"/>
    <w:basedOn w:val="DefaultParagraphFont"/>
    <w:link w:val="Footer"/>
    <w:uiPriority w:val="99"/>
    <w:rsid w:val="00FA470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Disheva</dc:creator>
  <cp:lastModifiedBy>Maria Disheva</cp:lastModifiedBy>
  <cp:revision>5</cp:revision>
  <cp:lastPrinted>2016-03-09T07:14:00Z</cp:lastPrinted>
  <dcterms:created xsi:type="dcterms:W3CDTF">2016-02-26T07:49:00Z</dcterms:created>
  <dcterms:modified xsi:type="dcterms:W3CDTF">2016-03-12T10:49:00Z</dcterms:modified>
</cp:coreProperties>
</file>